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D3EC5F" w14:textId="0D01449E"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1C4EA0">
        <w:rPr>
          <w:rFonts w:ascii="Times New Roman" w:hAnsi="Times New Roman"/>
          <w:sz w:val="24"/>
        </w:rPr>
        <w:t>4</w:t>
      </w:r>
      <w:r w:rsidR="00BF7093">
        <w:rPr>
          <w:rFonts w:ascii="Times New Roman" w:hAnsi="Times New Roman"/>
          <w:sz w:val="24"/>
        </w:rPr>
        <w:t>bis-e</w:t>
      </w:r>
      <w:r>
        <w:rPr>
          <w:rFonts w:ascii="Times New Roman" w:hAnsi="Times New Roman"/>
          <w:sz w:val="24"/>
        </w:rPr>
        <w:tab/>
      </w:r>
      <w:r w:rsidR="00083F56" w:rsidRPr="00083F56">
        <w:rPr>
          <w:rFonts w:ascii="Times New Roman" w:hAnsi="Times New Roman"/>
          <w:sz w:val="24"/>
        </w:rPr>
        <w:t>R4-</w:t>
      </w:r>
      <w:r w:rsidR="001C4EA0">
        <w:rPr>
          <w:rFonts w:ascii="Times New Roman" w:hAnsi="Times New Roman"/>
          <w:sz w:val="24"/>
        </w:rPr>
        <w:t>20</w:t>
      </w:r>
      <w:r w:rsidR="00FF4FD8">
        <w:rPr>
          <w:rFonts w:ascii="Times New Roman" w:hAnsi="Times New Roman"/>
          <w:sz w:val="24"/>
        </w:rPr>
        <w:t>0</w:t>
      </w:r>
      <w:r w:rsidR="00E86823">
        <w:rPr>
          <w:rFonts w:ascii="Times New Roman" w:hAnsi="Times New Roman"/>
          <w:sz w:val="24"/>
        </w:rPr>
        <w:t>3108</w:t>
      </w:r>
    </w:p>
    <w:p w14:paraId="631FCBAE" w14:textId="2A0FBC70" w:rsidR="005813AA" w:rsidRPr="00552689" w:rsidRDefault="00BF7093" w:rsidP="005813AA">
      <w:pPr>
        <w:pStyle w:val="Header"/>
        <w:rPr>
          <w:rFonts w:ascii="Times New Roman" w:hAnsi="Times New Roman"/>
          <w:sz w:val="24"/>
          <w:lang w:val="en-US"/>
        </w:rPr>
      </w:pPr>
      <w:r>
        <w:rPr>
          <w:rFonts w:ascii="Times New Roman" w:hAnsi="Times New Roman"/>
          <w:sz w:val="24"/>
          <w:lang w:val="en-US"/>
        </w:rPr>
        <w:t>Online</w:t>
      </w:r>
      <w:r w:rsidR="005813AA">
        <w:rPr>
          <w:rFonts w:ascii="Times New Roman" w:hAnsi="Times New Roman"/>
          <w:sz w:val="24"/>
          <w:lang w:val="en-US"/>
        </w:rPr>
        <w:t xml:space="preserve">, </w:t>
      </w:r>
      <w:r w:rsidR="001C4EA0">
        <w:rPr>
          <w:rFonts w:ascii="Times New Roman" w:hAnsi="Times New Roman"/>
          <w:sz w:val="24"/>
          <w:lang w:val="en-US"/>
        </w:rPr>
        <w:t>2</w:t>
      </w:r>
      <w:r>
        <w:rPr>
          <w:rFonts w:ascii="Times New Roman" w:hAnsi="Times New Roman"/>
          <w:sz w:val="24"/>
          <w:lang w:val="en-US"/>
        </w:rPr>
        <w:t>0</w:t>
      </w:r>
      <w:r w:rsidR="00C904B5">
        <w:rPr>
          <w:rFonts w:ascii="Times New Roman" w:hAnsi="Times New Roman"/>
          <w:sz w:val="24"/>
          <w:lang w:val="en-US"/>
        </w:rPr>
        <w:t xml:space="preserve"> </w:t>
      </w:r>
      <w:r w:rsidR="00722A9B">
        <w:rPr>
          <w:rFonts w:ascii="Times New Roman" w:hAnsi="Times New Roman"/>
          <w:sz w:val="24"/>
          <w:lang w:val="en-US"/>
        </w:rPr>
        <w:t>–</w:t>
      </w:r>
      <w:r w:rsidR="00651443">
        <w:rPr>
          <w:rFonts w:ascii="Times New Roman" w:hAnsi="Times New Roman"/>
          <w:sz w:val="24"/>
          <w:lang w:val="en-US"/>
        </w:rPr>
        <w:t xml:space="preserve"> </w:t>
      </w:r>
      <w:r w:rsidR="00722A9B">
        <w:rPr>
          <w:rFonts w:ascii="Times New Roman" w:hAnsi="Times New Roman"/>
          <w:sz w:val="24"/>
          <w:lang w:val="en-US"/>
        </w:rPr>
        <w:t>30</w:t>
      </w:r>
      <w:r w:rsidR="00722A9B" w:rsidRPr="00722A9B">
        <w:rPr>
          <w:rFonts w:ascii="Times New Roman" w:hAnsi="Times New Roman"/>
          <w:sz w:val="24"/>
          <w:vertAlign w:val="superscript"/>
          <w:lang w:val="en-US"/>
        </w:rPr>
        <w:t>th</w:t>
      </w:r>
      <w:r w:rsidR="002B1082">
        <w:rPr>
          <w:rFonts w:ascii="Times New Roman" w:hAnsi="Times New Roman"/>
          <w:sz w:val="24"/>
          <w:lang w:val="en-US"/>
        </w:rPr>
        <w:t xml:space="preserve"> </w:t>
      </w:r>
      <w:r>
        <w:rPr>
          <w:rFonts w:ascii="Times New Roman" w:hAnsi="Times New Roman"/>
          <w:sz w:val="24"/>
          <w:lang w:val="en-US"/>
        </w:rPr>
        <w:t>April</w:t>
      </w:r>
      <w:r w:rsidR="0032455B">
        <w:rPr>
          <w:rFonts w:ascii="Times New Roman" w:hAnsi="Times New Roman"/>
          <w:sz w:val="24"/>
          <w:lang w:val="en-US"/>
        </w:rPr>
        <w:t>, 20</w:t>
      </w:r>
      <w:r w:rsidR="001C4EA0">
        <w:rPr>
          <w:rFonts w:ascii="Times New Roman" w:hAnsi="Times New Roman"/>
          <w:sz w:val="24"/>
          <w:lang w:val="en-US"/>
        </w:rPr>
        <w:t>20</w:t>
      </w:r>
    </w:p>
    <w:p w14:paraId="55D5C3E0" w14:textId="77777777" w:rsidR="005813AA" w:rsidRPr="007535E3" w:rsidRDefault="005813AA" w:rsidP="005813AA">
      <w:pPr>
        <w:pStyle w:val="Footer"/>
        <w:jc w:val="both"/>
        <w:rPr>
          <w:noProof w:val="0"/>
        </w:rPr>
      </w:pPr>
    </w:p>
    <w:p w14:paraId="04C85746" w14:textId="77777777" w:rsidR="00B12FC8"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B12FC8" w:rsidRPr="00B12FC8">
        <w:rPr>
          <w:rFonts w:ascii="Arial" w:hAnsi="Arial" w:cs="Arial"/>
          <w:sz w:val="24"/>
          <w:lang w:val="en-US" w:eastAsia="zh-CN"/>
        </w:rPr>
        <w:t>Mandatory gap patterns in NR RRM enhancement</w:t>
      </w:r>
    </w:p>
    <w:p w14:paraId="14C8C551"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75466055" w14:textId="77777777"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FF4FD8">
        <w:rPr>
          <w:rFonts w:ascii="Arial" w:hAnsi="Arial" w:cs="Arial"/>
          <w:sz w:val="24"/>
          <w:lang w:val="en-US" w:eastAsia="zh-CN"/>
        </w:rPr>
        <w:t>8.15.1.6</w:t>
      </w:r>
    </w:p>
    <w:p w14:paraId="27EA87A7"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14:paraId="6B62E55C" w14:textId="77777777" w:rsidR="00E948E9" w:rsidRDefault="005813AA" w:rsidP="002E5998">
      <w:pPr>
        <w:pStyle w:val="Heading1"/>
      </w:pPr>
      <w:r w:rsidRPr="00DA6BF8">
        <w:t>Introduction</w:t>
      </w:r>
      <w:bookmarkStart w:id="0" w:name="_GoBack"/>
      <w:bookmarkEnd w:id="0"/>
    </w:p>
    <w:p w14:paraId="4C05F681" w14:textId="77777777" w:rsidR="0065502B" w:rsidRDefault="00DE0401" w:rsidP="0065502B">
      <w:r>
        <w:t xml:space="preserve">In RAN#85, the WI for RRM enhancement in R16 was revised </w:t>
      </w:r>
      <w:r>
        <w:fldChar w:fldCharType="begin"/>
      </w:r>
      <w:r>
        <w:instrText xml:space="preserve"> REF _Ref19802584 \r \h </w:instrText>
      </w:r>
      <w:r>
        <w:fldChar w:fldCharType="separate"/>
      </w:r>
      <w:r>
        <w:t>[1]</w:t>
      </w:r>
      <w:r>
        <w:fldChar w:fldCharType="end"/>
      </w:r>
      <w:r>
        <w:t xml:space="preserve"> to include the following objective based on agreements from RAN4#92</w:t>
      </w:r>
    </w:p>
    <w:p w14:paraId="1BCE84EA" w14:textId="77777777" w:rsidR="00DE0401" w:rsidRPr="00DE0401" w:rsidRDefault="00DE0401" w:rsidP="00DE0401">
      <w:pPr>
        <w:pStyle w:val="NormalWeb"/>
        <w:numPr>
          <w:ilvl w:val="0"/>
          <w:numId w:val="35"/>
        </w:numPr>
        <w:spacing w:before="0" w:beforeAutospacing="0" w:after="120" w:afterAutospacing="0"/>
        <w:rPr>
          <w:bCs/>
          <w:i/>
          <w:kern w:val="24"/>
          <w:sz w:val="20"/>
          <w:szCs w:val="20"/>
          <w:lang w:val="en-GB"/>
        </w:rPr>
      </w:pPr>
      <w:bookmarkStart w:id="1" w:name="_Hlk18508776"/>
      <w:r w:rsidRPr="00DE0401">
        <w:rPr>
          <w:bCs/>
          <w:i/>
          <w:kern w:val="24"/>
          <w:sz w:val="20"/>
          <w:szCs w:val="20"/>
          <w:lang w:val="en-GB"/>
        </w:rPr>
        <w:t xml:space="preserve">Mandating more measurement gap patterns for R16 RRM </w:t>
      </w:r>
    </w:p>
    <w:p w14:paraId="5CCDB483" w14:textId="77777777" w:rsidR="00DE0401" w:rsidRPr="00DE0401" w:rsidRDefault="00DE0401" w:rsidP="00DE0401">
      <w:pPr>
        <w:pStyle w:val="ListParagraph"/>
        <w:numPr>
          <w:ilvl w:val="1"/>
          <w:numId w:val="36"/>
        </w:numPr>
        <w:spacing w:after="120"/>
        <w:contextualSpacing w:val="0"/>
        <w:rPr>
          <w:bCs/>
          <w:i/>
          <w:kern w:val="24"/>
          <w:sz w:val="20"/>
          <w:szCs w:val="20"/>
          <w:lang w:val="en-GB"/>
        </w:rPr>
      </w:pPr>
      <w:r w:rsidRPr="00DE0401">
        <w:rPr>
          <w:bCs/>
          <w:i/>
          <w:kern w:val="24"/>
          <w:sz w:val="20"/>
          <w:szCs w:val="20"/>
          <w:lang w:val="en-GB"/>
        </w:rPr>
        <w:t>Discuss on the possible benefits and network/UE complexity aspects of mandating additional measurement gap pattern(s) for R16 RRM based on R15 measurement gap applicability requirements.</w:t>
      </w:r>
    </w:p>
    <w:p w14:paraId="5A92E592" w14:textId="77777777" w:rsidR="00DE0401" w:rsidRDefault="00DE0401" w:rsidP="00DE0401">
      <w:pPr>
        <w:pStyle w:val="ListParagraph"/>
        <w:numPr>
          <w:ilvl w:val="1"/>
          <w:numId w:val="36"/>
        </w:numPr>
        <w:spacing w:after="120"/>
        <w:contextualSpacing w:val="0"/>
        <w:rPr>
          <w:bCs/>
          <w:i/>
          <w:kern w:val="24"/>
          <w:sz w:val="20"/>
          <w:szCs w:val="20"/>
          <w:lang w:val="en-GB"/>
        </w:rPr>
      </w:pPr>
      <w:r w:rsidRPr="00DE0401">
        <w:rPr>
          <w:bCs/>
          <w:i/>
          <w:kern w:val="24"/>
          <w:sz w:val="20"/>
          <w:szCs w:val="20"/>
          <w:lang w:val="en-GB"/>
        </w:rPr>
        <w:t>If the conclusion is to mandate additional gap pattern(s), inform RAN2 by LS</w:t>
      </w:r>
      <w:bookmarkEnd w:id="1"/>
    </w:p>
    <w:p w14:paraId="507E0607" w14:textId="77777777" w:rsidR="003A59ED" w:rsidRDefault="003A59ED" w:rsidP="003A59ED">
      <w:pPr>
        <w:spacing w:after="120"/>
        <w:rPr>
          <w:bCs/>
          <w:kern w:val="24"/>
        </w:rPr>
      </w:pPr>
      <w:r>
        <w:rPr>
          <w:bCs/>
          <w:kern w:val="24"/>
        </w:rPr>
        <w:t>In RAN4#9</w:t>
      </w:r>
      <w:r w:rsidR="00BF7093">
        <w:rPr>
          <w:bCs/>
          <w:kern w:val="24"/>
        </w:rPr>
        <w:t>4</w:t>
      </w:r>
      <w:r>
        <w:rPr>
          <w:bCs/>
          <w:kern w:val="24"/>
        </w:rPr>
        <w:t xml:space="preserve">, </w:t>
      </w:r>
      <w:r w:rsidR="00BF7093">
        <w:rPr>
          <w:bCs/>
          <w:kern w:val="24"/>
        </w:rPr>
        <w:t>further</w:t>
      </w:r>
      <w:r>
        <w:rPr>
          <w:bCs/>
          <w:kern w:val="24"/>
        </w:rPr>
        <w:t xml:space="preserve"> discussions took place. The way forward was agreed</w:t>
      </w:r>
      <w:r w:rsidR="00BF7093">
        <w:rPr>
          <w:bCs/>
          <w:kern w:val="24"/>
        </w:rPr>
        <w:t>:</w:t>
      </w:r>
    </w:p>
    <w:tbl>
      <w:tblPr>
        <w:tblStyle w:val="TableGrid"/>
        <w:tblW w:w="0" w:type="auto"/>
        <w:tblLook w:val="04A0" w:firstRow="1" w:lastRow="0" w:firstColumn="1" w:lastColumn="0" w:noHBand="0" w:noVBand="1"/>
      </w:tblPr>
      <w:tblGrid>
        <w:gridCol w:w="10537"/>
      </w:tblGrid>
      <w:tr w:rsidR="003A59ED" w14:paraId="7B38F0B2" w14:textId="77777777" w:rsidTr="003A59ED">
        <w:tc>
          <w:tcPr>
            <w:tcW w:w="10537" w:type="dxa"/>
          </w:tcPr>
          <w:p w14:paraId="0DBA1B47" w14:textId="77777777" w:rsidR="00BF7093" w:rsidRPr="00FB44F3" w:rsidRDefault="00BF7093" w:rsidP="00BF7093">
            <w:pPr>
              <w:numPr>
                <w:ilvl w:val="0"/>
                <w:numId w:val="39"/>
              </w:numPr>
            </w:pPr>
            <w:r w:rsidRPr="00FB44F3">
              <w:t xml:space="preserve">Introduce a new Rel-16 UE capability to indicate measurement gap patterns for 'NR only measurements' </w:t>
            </w:r>
          </w:p>
          <w:p w14:paraId="37B53960" w14:textId="77777777" w:rsidR="00BF7093" w:rsidRPr="00FB44F3" w:rsidRDefault="00BF7093" w:rsidP="00BF7093">
            <w:pPr>
              <w:numPr>
                <w:ilvl w:val="0"/>
                <w:numId w:val="39"/>
              </w:numPr>
            </w:pPr>
            <w:r w:rsidRPr="00FB44F3">
              <w:t xml:space="preserve">NR only measurement is to be clarified. </w:t>
            </w:r>
          </w:p>
          <w:p w14:paraId="3E66F5C3" w14:textId="77777777" w:rsidR="00BF7093" w:rsidRPr="00FB44F3" w:rsidRDefault="00BF7093" w:rsidP="00BF7093">
            <w:pPr>
              <w:numPr>
                <w:ilvl w:val="0"/>
                <w:numId w:val="39"/>
              </w:numPr>
            </w:pPr>
            <w:r w:rsidRPr="00FB44F3">
              <w:t>Applicability of additional mandatory gap patterns and new UE capability signalling</w:t>
            </w:r>
          </w:p>
          <w:p w14:paraId="0EEF042C" w14:textId="77777777" w:rsidR="00BF7093" w:rsidRPr="00FB44F3" w:rsidRDefault="00BF7093" w:rsidP="00BF7093">
            <w:pPr>
              <w:numPr>
                <w:ilvl w:val="0"/>
                <w:numId w:val="39"/>
              </w:numPr>
            </w:pPr>
            <w:r w:rsidRPr="00FB44F3">
              <w:t>Additional mandatory gap patterns and new UE capability in Rel-16 are applicable for at least NR SA and NR-DC mode</w:t>
            </w:r>
          </w:p>
          <w:p w14:paraId="027FC6A8" w14:textId="77777777" w:rsidR="00BF7093" w:rsidRPr="00FB44F3" w:rsidRDefault="00BF7093" w:rsidP="00BF7093">
            <w:pPr>
              <w:numPr>
                <w:ilvl w:val="0"/>
                <w:numId w:val="39"/>
              </w:numPr>
            </w:pPr>
            <w:r w:rsidRPr="00FB44F3">
              <w:t xml:space="preserve">FFS </w:t>
            </w:r>
            <w:proofErr w:type="spellStart"/>
            <w:r w:rsidRPr="00FB44F3">
              <w:t>applicablity</w:t>
            </w:r>
            <w:proofErr w:type="spellEnd"/>
            <w:r w:rsidRPr="00FB44F3">
              <w:t xml:space="preserve"> for EN-DC, NE-DC, and LTE SA mode</w:t>
            </w:r>
          </w:p>
          <w:p w14:paraId="7AF4D71F" w14:textId="77777777" w:rsidR="00BF7093" w:rsidRPr="00FB44F3" w:rsidRDefault="00BF7093" w:rsidP="00BF7093">
            <w:pPr>
              <w:numPr>
                <w:ilvl w:val="0"/>
                <w:numId w:val="39"/>
              </w:numPr>
              <w:rPr>
                <w:highlight w:val="yellow"/>
              </w:rPr>
            </w:pPr>
            <w:r w:rsidRPr="00FB44F3">
              <w:rPr>
                <w:highlight w:val="yellow"/>
              </w:rPr>
              <w:t>FFS Mandatory gap patterns for FR1</w:t>
            </w:r>
          </w:p>
          <w:p w14:paraId="1DEDB408" w14:textId="77777777" w:rsidR="00BF7093" w:rsidRPr="00BF7093" w:rsidRDefault="00BF7093" w:rsidP="00BF7093">
            <w:pPr>
              <w:numPr>
                <w:ilvl w:val="0"/>
                <w:numId w:val="39"/>
              </w:numPr>
              <w:rPr>
                <w:highlight w:val="yellow"/>
              </w:rPr>
            </w:pPr>
            <w:r w:rsidRPr="00BF7093">
              <w:rPr>
                <w:highlight w:val="yellow"/>
              </w:rPr>
              <w:t>FFS Mandatory gap patterns for FR2</w:t>
            </w:r>
          </w:p>
          <w:p w14:paraId="43205360" w14:textId="77777777" w:rsidR="00BF7093" w:rsidRPr="00FB44F3" w:rsidRDefault="00BF7093" w:rsidP="00BF7093">
            <w:pPr>
              <w:numPr>
                <w:ilvl w:val="0"/>
                <w:numId w:val="39"/>
              </w:numPr>
            </w:pPr>
            <w:r w:rsidRPr="00FB44F3">
              <w:t xml:space="preserve">Decisions on mandatory measurement gap patterns and </w:t>
            </w:r>
            <w:proofErr w:type="spellStart"/>
            <w:r w:rsidRPr="00FB44F3">
              <w:t>applicablity</w:t>
            </w:r>
            <w:proofErr w:type="spellEnd"/>
            <w:r w:rsidRPr="00FB44F3">
              <w:t xml:space="preserve"> will be made in the RAN4#94 meeting.</w:t>
            </w:r>
          </w:p>
          <w:p w14:paraId="4A2B53C1" w14:textId="77777777" w:rsidR="003A59ED" w:rsidRPr="003A59ED" w:rsidRDefault="00BF7093" w:rsidP="00BF7093">
            <w:pPr>
              <w:numPr>
                <w:ilvl w:val="1"/>
                <w:numId w:val="39"/>
              </w:numPr>
            </w:pPr>
            <w:r w:rsidRPr="00FB44F3">
              <w:t xml:space="preserve">LS on RAN4 agreements on UE capability and </w:t>
            </w:r>
            <w:proofErr w:type="spellStart"/>
            <w:r w:rsidRPr="00FB44F3">
              <w:t>mandotory</w:t>
            </w:r>
            <w:proofErr w:type="spellEnd"/>
            <w:r w:rsidRPr="00FB44F3">
              <w:t xml:space="preserve"> measurement gap patterns will be send to RAN2 in the RAN4#94 meeting.</w:t>
            </w:r>
          </w:p>
        </w:tc>
      </w:tr>
    </w:tbl>
    <w:p w14:paraId="5276D7D8" w14:textId="77777777" w:rsidR="003A59ED" w:rsidRPr="003A59ED" w:rsidRDefault="003A59ED" w:rsidP="003A59ED">
      <w:pPr>
        <w:spacing w:after="120"/>
        <w:rPr>
          <w:bCs/>
          <w:kern w:val="24"/>
        </w:rPr>
      </w:pPr>
    </w:p>
    <w:p w14:paraId="34436AFC" w14:textId="77777777" w:rsidR="00EB7258" w:rsidRDefault="00DE0401" w:rsidP="00EB7258">
      <w:pPr>
        <w:rPr>
          <w:lang w:val="en-US"/>
        </w:rPr>
      </w:pPr>
      <w:r>
        <w:t xml:space="preserve">In this paper, we present some views on </w:t>
      </w:r>
      <w:r w:rsidR="00EB7258" w:rsidRPr="0029433B">
        <w:rPr>
          <w:lang w:val="en-US"/>
        </w:rPr>
        <w:t xml:space="preserve">which GP shall be mandatory in R16 for </w:t>
      </w:r>
      <w:r w:rsidR="00EB7258">
        <w:rPr>
          <w:lang w:val="en-US"/>
        </w:rPr>
        <w:t xml:space="preserve">the </w:t>
      </w:r>
      <w:r w:rsidR="00EB7258" w:rsidRPr="0029433B">
        <w:rPr>
          <w:lang w:val="en-US"/>
        </w:rPr>
        <w:t xml:space="preserve">new UE </w:t>
      </w:r>
      <w:r w:rsidR="00EB7258">
        <w:rPr>
          <w:lang w:val="en-US"/>
        </w:rPr>
        <w:t>capability (</w:t>
      </w:r>
      <w:r w:rsidR="00BF7093">
        <w:rPr>
          <w:lang w:val="en-US"/>
        </w:rPr>
        <w:t xml:space="preserve">highlighted </w:t>
      </w:r>
      <w:r w:rsidR="00EB7258">
        <w:rPr>
          <w:lang w:val="en-US"/>
        </w:rPr>
        <w:t>bullet</w:t>
      </w:r>
      <w:r w:rsidR="00BF7093">
        <w:rPr>
          <w:lang w:val="en-US"/>
        </w:rPr>
        <w:t>s</w:t>
      </w:r>
      <w:r w:rsidR="00EB7258">
        <w:rPr>
          <w:lang w:val="en-US"/>
        </w:rPr>
        <w:t xml:space="preserve"> in the WF). We cover other aspects in a companion contribution.</w:t>
      </w:r>
    </w:p>
    <w:p w14:paraId="196C2682" w14:textId="77777777" w:rsidR="00902595" w:rsidRDefault="00EB7258" w:rsidP="00EB7258">
      <w:pPr>
        <w:pStyle w:val="Heading1"/>
        <w:rPr>
          <w:lang w:val="en-US" w:eastAsia="zh-CN"/>
        </w:rPr>
      </w:pPr>
      <w:r>
        <w:rPr>
          <w:lang w:val="en-US" w:eastAsia="zh-CN"/>
        </w:rPr>
        <w:t xml:space="preserve"> </w:t>
      </w:r>
      <w:r w:rsidR="00902595">
        <w:rPr>
          <w:lang w:val="en-US" w:eastAsia="zh-CN"/>
        </w:rPr>
        <w:t>Discussion</w:t>
      </w:r>
    </w:p>
    <w:p w14:paraId="650DFE59" w14:textId="77777777" w:rsidR="00202D60" w:rsidRDefault="00202D60" w:rsidP="00202D60">
      <w:pPr>
        <w:rPr>
          <w:lang w:val="en-US" w:eastAsia="zh-CN"/>
        </w:rPr>
      </w:pPr>
      <w:r>
        <w:rPr>
          <w:lang w:val="en-US" w:eastAsia="zh-CN"/>
        </w:rPr>
        <w:t>Starting with release 15, the following 24 gap patterns are specified for different measurement applicability in NR and NR+LTE measurement</w:t>
      </w:r>
    </w:p>
    <w:p w14:paraId="64E39437" w14:textId="77777777" w:rsidR="00171C3E" w:rsidRPr="00BE78B0" w:rsidRDefault="00171C3E" w:rsidP="00171C3E">
      <w:pPr>
        <w:keepNext/>
        <w:keepLines/>
        <w:spacing w:before="60"/>
        <w:jc w:val="center"/>
        <w:rPr>
          <w:rFonts w:ascii="Arial" w:hAnsi="Arial"/>
          <w:b/>
        </w:rPr>
      </w:pPr>
      <w:r w:rsidRPr="00BE78B0">
        <w:rPr>
          <w:rFonts w:ascii="Arial" w:hAnsi="Arial"/>
          <w:b/>
          <w:snapToGrid w:val="0"/>
        </w:rPr>
        <w:lastRenderedPageBreak/>
        <w:t xml:space="preserve">Table 9.1.2-1: </w:t>
      </w:r>
      <w:r w:rsidRPr="00BE78B0">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945"/>
        <w:gridCol w:w="1915"/>
      </w:tblGrid>
      <w:tr w:rsidR="00171C3E" w:rsidRPr="00BE78B0" w14:paraId="34CF7939" w14:textId="77777777"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9B9F3CD" w14:textId="77777777" w:rsidR="00171C3E" w:rsidRPr="00BE78B0" w:rsidRDefault="00171C3E" w:rsidP="00EB7462">
            <w:pPr>
              <w:keepNext/>
              <w:keepLines/>
              <w:spacing w:after="0"/>
              <w:jc w:val="center"/>
              <w:rPr>
                <w:rFonts w:ascii="Arial" w:hAnsi="Arial"/>
                <w:b/>
                <w:sz w:val="18"/>
              </w:rPr>
            </w:pPr>
            <w:r w:rsidRPr="00BE78B0">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3DCAAF94" w14:textId="77777777" w:rsidR="00171C3E" w:rsidRPr="00BE78B0" w:rsidRDefault="00171C3E" w:rsidP="00EB7462">
            <w:pPr>
              <w:keepNext/>
              <w:keepLines/>
              <w:spacing w:after="0"/>
              <w:jc w:val="center"/>
              <w:rPr>
                <w:rFonts w:ascii="Arial" w:hAnsi="Arial"/>
                <w:b/>
                <w:sz w:val="18"/>
              </w:rPr>
            </w:pPr>
            <w:r w:rsidRPr="00BE78B0">
              <w:rPr>
                <w:rFonts w:ascii="Arial" w:hAnsi="Arial"/>
                <w:b/>
                <w:sz w:val="18"/>
                <w:lang w:eastAsia="zh-CN"/>
              </w:rPr>
              <w:t xml:space="preserve">Measurement </w:t>
            </w:r>
            <w:r w:rsidRPr="00BE78B0">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23BE8BC5" w14:textId="77777777" w:rsidR="00171C3E" w:rsidRPr="00BE78B0" w:rsidRDefault="00171C3E" w:rsidP="00EB7462">
            <w:pPr>
              <w:keepNext/>
              <w:keepLines/>
              <w:spacing w:after="0"/>
              <w:jc w:val="center"/>
              <w:rPr>
                <w:rFonts w:ascii="Arial" w:hAnsi="Arial"/>
                <w:b/>
                <w:sz w:val="18"/>
              </w:rPr>
            </w:pPr>
            <w:r w:rsidRPr="00BE78B0">
              <w:rPr>
                <w:rFonts w:ascii="Arial" w:hAnsi="Arial"/>
                <w:b/>
                <w:sz w:val="18"/>
                <w:lang w:eastAsia="zh-CN"/>
              </w:rPr>
              <w:t>Measurement</w:t>
            </w:r>
            <w:r w:rsidRPr="00BE78B0">
              <w:rPr>
                <w:rFonts w:ascii="Arial" w:hAnsi="Arial"/>
                <w:b/>
                <w:sz w:val="18"/>
              </w:rPr>
              <w:t xml:space="preserve"> Gap Repetition Period</w:t>
            </w:r>
          </w:p>
          <w:p w14:paraId="6004D796" w14:textId="77777777" w:rsidR="00171C3E" w:rsidRPr="00BE78B0" w:rsidRDefault="00171C3E" w:rsidP="00EB7462">
            <w:pPr>
              <w:keepNext/>
              <w:keepLines/>
              <w:spacing w:after="0"/>
              <w:jc w:val="center"/>
              <w:rPr>
                <w:rFonts w:ascii="Arial" w:hAnsi="Arial"/>
                <w:b/>
                <w:sz w:val="18"/>
              </w:rPr>
            </w:pPr>
            <w:r w:rsidRPr="00BE78B0">
              <w:rPr>
                <w:rFonts w:ascii="Arial" w:hAnsi="Arial"/>
                <w:b/>
                <w:sz w:val="18"/>
              </w:rPr>
              <w:t>(MGRP, ms)</w:t>
            </w:r>
          </w:p>
        </w:tc>
      </w:tr>
      <w:tr w:rsidR="00171C3E" w:rsidRPr="00BE78B0" w14:paraId="2B8872CD" w14:textId="77777777"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66A507C" w14:textId="77777777" w:rsidR="00171C3E" w:rsidRPr="00171C3E" w:rsidRDefault="00171C3E" w:rsidP="00EB7462">
            <w:pPr>
              <w:keepNext/>
              <w:keepLines/>
              <w:spacing w:after="0"/>
              <w:jc w:val="center"/>
              <w:rPr>
                <w:rFonts w:ascii="Arial" w:hAnsi="Arial"/>
                <w:snapToGrid w:val="0"/>
                <w:sz w:val="18"/>
                <w:highlight w:val="green"/>
              </w:rPr>
            </w:pPr>
            <w:r w:rsidRPr="00171C3E">
              <w:rPr>
                <w:rFonts w:ascii="Arial" w:hAnsi="Arial"/>
                <w:snapToGrid w:val="0"/>
                <w:sz w:val="18"/>
                <w:highlight w:val="green"/>
              </w:rPr>
              <w:t>0</w:t>
            </w:r>
          </w:p>
        </w:tc>
        <w:tc>
          <w:tcPr>
            <w:tcW w:w="1832" w:type="pct"/>
            <w:tcBorders>
              <w:top w:val="single" w:sz="4" w:space="0" w:color="auto"/>
              <w:left w:val="single" w:sz="4" w:space="0" w:color="auto"/>
              <w:bottom w:val="single" w:sz="4" w:space="0" w:color="auto"/>
              <w:right w:val="single" w:sz="4" w:space="0" w:color="auto"/>
            </w:tcBorders>
            <w:hideMark/>
          </w:tcPr>
          <w:p w14:paraId="079E512F" w14:textId="77777777" w:rsidR="00171C3E" w:rsidRPr="00171C3E" w:rsidRDefault="00171C3E" w:rsidP="00EB7462">
            <w:pPr>
              <w:keepNext/>
              <w:keepLines/>
              <w:spacing w:after="0"/>
              <w:jc w:val="center"/>
              <w:rPr>
                <w:rFonts w:ascii="Arial" w:hAnsi="Arial"/>
                <w:snapToGrid w:val="0"/>
                <w:sz w:val="18"/>
                <w:highlight w:val="green"/>
              </w:rPr>
            </w:pPr>
            <w:r w:rsidRPr="00171C3E">
              <w:rPr>
                <w:rFonts w:ascii="Arial" w:hAnsi="Arial"/>
                <w:snapToGrid w:val="0"/>
                <w:sz w:val="18"/>
                <w:highlight w:val="green"/>
              </w:rPr>
              <w:t>6</w:t>
            </w:r>
          </w:p>
        </w:tc>
        <w:tc>
          <w:tcPr>
            <w:tcW w:w="1804" w:type="pct"/>
            <w:tcBorders>
              <w:top w:val="single" w:sz="4" w:space="0" w:color="auto"/>
              <w:left w:val="single" w:sz="4" w:space="0" w:color="auto"/>
              <w:bottom w:val="single" w:sz="4" w:space="0" w:color="auto"/>
              <w:right w:val="single" w:sz="4" w:space="0" w:color="auto"/>
            </w:tcBorders>
            <w:hideMark/>
          </w:tcPr>
          <w:p w14:paraId="5F9D2B06" w14:textId="77777777" w:rsidR="00171C3E" w:rsidRPr="00171C3E" w:rsidRDefault="00171C3E" w:rsidP="00EB7462">
            <w:pPr>
              <w:keepNext/>
              <w:keepLines/>
              <w:spacing w:after="0"/>
              <w:jc w:val="center"/>
              <w:rPr>
                <w:rFonts w:ascii="Arial" w:hAnsi="Arial"/>
                <w:snapToGrid w:val="0"/>
                <w:sz w:val="18"/>
                <w:highlight w:val="green"/>
              </w:rPr>
            </w:pPr>
            <w:r w:rsidRPr="00171C3E">
              <w:rPr>
                <w:rFonts w:ascii="Arial" w:hAnsi="Arial"/>
                <w:snapToGrid w:val="0"/>
                <w:sz w:val="18"/>
                <w:highlight w:val="green"/>
              </w:rPr>
              <w:t>40</w:t>
            </w:r>
          </w:p>
        </w:tc>
      </w:tr>
      <w:tr w:rsidR="00171C3E" w:rsidRPr="00BE78B0" w14:paraId="39E2FE32" w14:textId="77777777"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A8F259" w14:textId="77777777" w:rsidR="00171C3E" w:rsidRPr="00171C3E" w:rsidRDefault="00171C3E" w:rsidP="00EB7462">
            <w:pPr>
              <w:keepNext/>
              <w:keepLines/>
              <w:spacing w:after="0"/>
              <w:jc w:val="center"/>
              <w:rPr>
                <w:rFonts w:ascii="Arial" w:hAnsi="Arial"/>
                <w:snapToGrid w:val="0"/>
                <w:sz w:val="18"/>
                <w:highlight w:val="green"/>
              </w:rPr>
            </w:pPr>
            <w:r w:rsidRPr="00171C3E">
              <w:rPr>
                <w:rFonts w:ascii="Arial" w:hAnsi="Arial"/>
                <w:snapToGrid w:val="0"/>
                <w:sz w:val="18"/>
                <w:highlight w:val="green"/>
              </w:rPr>
              <w:t>1</w:t>
            </w:r>
          </w:p>
        </w:tc>
        <w:tc>
          <w:tcPr>
            <w:tcW w:w="1832" w:type="pct"/>
            <w:tcBorders>
              <w:top w:val="single" w:sz="4" w:space="0" w:color="auto"/>
              <w:left w:val="single" w:sz="4" w:space="0" w:color="auto"/>
              <w:bottom w:val="single" w:sz="4" w:space="0" w:color="auto"/>
              <w:right w:val="single" w:sz="4" w:space="0" w:color="auto"/>
            </w:tcBorders>
            <w:hideMark/>
          </w:tcPr>
          <w:p w14:paraId="68660BEF" w14:textId="77777777" w:rsidR="00171C3E" w:rsidRPr="00171C3E" w:rsidRDefault="00171C3E" w:rsidP="00EB7462">
            <w:pPr>
              <w:keepNext/>
              <w:keepLines/>
              <w:spacing w:after="0"/>
              <w:jc w:val="center"/>
              <w:rPr>
                <w:rFonts w:ascii="Arial" w:hAnsi="Arial"/>
                <w:snapToGrid w:val="0"/>
                <w:sz w:val="18"/>
                <w:highlight w:val="green"/>
              </w:rPr>
            </w:pPr>
            <w:r w:rsidRPr="00171C3E">
              <w:rPr>
                <w:rFonts w:ascii="Arial" w:hAnsi="Arial"/>
                <w:snapToGrid w:val="0"/>
                <w:sz w:val="18"/>
                <w:highlight w:val="green"/>
              </w:rPr>
              <w:t>6</w:t>
            </w:r>
          </w:p>
        </w:tc>
        <w:tc>
          <w:tcPr>
            <w:tcW w:w="1804" w:type="pct"/>
            <w:tcBorders>
              <w:top w:val="single" w:sz="4" w:space="0" w:color="auto"/>
              <w:left w:val="single" w:sz="4" w:space="0" w:color="auto"/>
              <w:bottom w:val="single" w:sz="4" w:space="0" w:color="auto"/>
              <w:right w:val="single" w:sz="4" w:space="0" w:color="auto"/>
            </w:tcBorders>
            <w:hideMark/>
          </w:tcPr>
          <w:p w14:paraId="2DE4B43B" w14:textId="77777777" w:rsidR="00171C3E" w:rsidRPr="00171C3E" w:rsidRDefault="00171C3E" w:rsidP="00EB7462">
            <w:pPr>
              <w:keepNext/>
              <w:keepLines/>
              <w:spacing w:after="0"/>
              <w:jc w:val="center"/>
              <w:rPr>
                <w:rFonts w:ascii="Arial" w:hAnsi="Arial"/>
                <w:snapToGrid w:val="0"/>
                <w:sz w:val="18"/>
                <w:highlight w:val="green"/>
              </w:rPr>
            </w:pPr>
            <w:r w:rsidRPr="00171C3E">
              <w:rPr>
                <w:rFonts w:ascii="Arial" w:hAnsi="Arial"/>
                <w:snapToGrid w:val="0"/>
                <w:sz w:val="18"/>
                <w:highlight w:val="green"/>
              </w:rPr>
              <w:t>80</w:t>
            </w:r>
          </w:p>
        </w:tc>
      </w:tr>
      <w:tr w:rsidR="00171C3E" w:rsidRPr="00BE78B0" w14:paraId="2284B933" w14:textId="77777777"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43E97EF" w14:textId="77777777" w:rsidR="00171C3E" w:rsidRPr="00BE78B0" w:rsidRDefault="00171C3E" w:rsidP="00EB7462">
            <w:pPr>
              <w:keepNext/>
              <w:keepLines/>
              <w:spacing w:after="0"/>
              <w:jc w:val="center"/>
              <w:rPr>
                <w:rFonts w:ascii="Arial" w:hAnsi="Arial"/>
                <w:snapToGrid w:val="0"/>
                <w:sz w:val="18"/>
              </w:rPr>
            </w:pPr>
            <w:r w:rsidRPr="00BE78B0">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00578884" w14:textId="77777777" w:rsidR="00171C3E" w:rsidRPr="00BE78B0" w:rsidRDefault="00171C3E" w:rsidP="00EB7462">
            <w:pPr>
              <w:keepNext/>
              <w:keepLines/>
              <w:spacing w:after="0"/>
              <w:jc w:val="center"/>
              <w:rPr>
                <w:rFonts w:ascii="Arial" w:hAnsi="Arial"/>
                <w:snapToGrid w:val="0"/>
                <w:sz w:val="18"/>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91CD784" w14:textId="77777777" w:rsidR="00171C3E" w:rsidRPr="00BE78B0" w:rsidRDefault="00171C3E" w:rsidP="00EB7462">
            <w:pPr>
              <w:keepNext/>
              <w:keepLines/>
              <w:spacing w:after="0"/>
              <w:jc w:val="center"/>
              <w:rPr>
                <w:rFonts w:ascii="Arial" w:hAnsi="Arial"/>
                <w:snapToGrid w:val="0"/>
                <w:sz w:val="18"/>
              </w:rPr>
            </w:pPr>
            <w:r w:rsidRPr="00BE78B0">
              <w:rPr>
                <w:rFonts w:ascii="Arial" w:hAnsi="Arial"/>
                <w:snapToGrid w:val="0"/>
                <w:sz w:val="18"/>
                <w:lang w:eastAsia="ko-KR"/>
              </w:rPr>
              <w:t>40</w:t>
            </w:r>
          </w:p>
        </w:tc>
      </w:tr>
      <w:tr w:rsidR="00171C3E" w:rsidRPr="00BE78B0" w14:paraId="789BE2A5" w14:textId="77777777"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8C19E03" w14:textId="77777777" w:rsidR="00171C3E" w:rsidRPr="00BE78B0" w:rsidRDefault="00171C3E" w:rsidP="00EB7462">
            <w:pPr>
              <w:keepNext/>
              <w:keepLines/>
              <w:spacing w:after="0"/>
              <w:jc w:val="center"/>
              <w:rPr>
                <w:rFonts w:ascii="Arial" w:hAnsi="Arial"/>
                <w:snapToGrid w:val="0"/>
                <w:sz w:val="18"/>
              </w:rPr>
            </w:pPr>
            <w:r w:rsidRPr="00BE78B0">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16D7B3AE" w14:textId="77777777" w:rsidR="00171C3E" w:rsidRPr="00BE78B0" w:rsidRDefault="00171C3E" w:rsidP="00EB7462">
            <w:pPr>
              <w:keepNext/>
              <w:keepLines/>
              <w:spacing w:after="0"/>
              <w:jc w:val="center"/>
              <w:rPr>
                <w:rFonts w:ascii="Arial" w:hAnsi="Arial"/>
                <w:snapToGrid w:val="0"/>
                <w:sz w:val="18"/>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C14E4D6" w14:textId="77777777" w:rsidR="00171C3E" w:rsidRPr="00BE78B0" w:rsidRDefault="00171C3E" w:rsidP="00EB7462">
            <w:pPr>
              <w:keepNext/>
              <w:keepLines/>
              <w:spacing w:after="0"/>
              <w:jc w:val="center"/>
              <w:rPr>
                <w:rFonts w:ascii="Arial" w:hAnsi="Arial"/>
                <w:snapToGrid w:val="0"/>
                <w:sz w:val="18"/>
              </w:rPr>
            </w:pPr>
            <w:r w:rsidRPr="00BE78B0">
              <w:rPr>
                <w:rFonts w:ascii="Arial" w:hAnsi="Arial"/>
                <w:snapToGrid w:val="0"/>
                <w:sz w:val="18"/>
                <w:lang w:eastAsia="ko-KR"/>
              </w:rPr>
              <w:t>80</w:t>
            </w:r>
          </w:p>
        </w:tc>
      </w:tr>
      <w:tr w:rsidR="00171C3E" w:rsidRPr="00BE78B0" w14:paraId="064D1D48" w14:textId="77777777"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F52CC5B"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76766EA3"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87F4A2B"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20</w:t>
            </w:r>
          </w:p>
        </w:tc>
      </w:tr>
      <w:tr w:rsidR="00171C3E" w:rsidRPr="00BE78B0" w14:paraId="34AB2E55" w14:textId="77777777"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768F579"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709E0423"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7911A31B"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171C3E" w:rsidRPr="00BE78B0" w14:paraId="0FE05783" w14:textId="77777777"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61D3F88"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4B1B1747"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958D495"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rPr>
              <w:t>20</w:t>
            </w:r>
          </w:p>
        </w:tc>
      </w:tr>
      <w:tr w:rsidR="00171C3E" w:rsidRPr="00BE78B0" w14:paraId="3E3D5E09" w14:textId="77777777"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89E7FA"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41951BD1"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058EB08"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rPr>
              <w:t>40</w:t>
            </w:r>
          </w:p>
        </w:tc>
      </w:tr>
      <w:tr w:rsidR="00171C3E" w:rsidRPr="00BE78B0" w14:paraId="29392A1B" w14:textId="77777777"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34D47B9"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56C576D9"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06D3939"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171C3E" w:rsidRPr="00BE78B0" w14:paraId="11936A8C" w14:textId="77777777"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11124F4"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9C361A2"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7855826"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171C3E" w:rsidRPr="00BE78B0" w14:paraId="666056CA" w14:textId="77777777"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6B2DF0"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2DCE290E"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909C1E5"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rPr>
              <w:t>20</w:t>
            </w:r>
          </w:p>
        </w:tc>
      </w:tr>
      <w:tr w:rsidR="00171C3E" w:rsidRPr="00BE78B0" w14:paraId="50B010EC" w14:textId="77777777"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8EE731B"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0EC27F9E"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6A69BB3"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171C3E" w:rsidRPr="00BE78B0" w14:paraId="4FA3A7A1" w14:textId="77777777"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D8600FC"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68E06F74"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5209FEB"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rPr>
              <w:t>20</w:t>
            </w:r>
          </w:p>
        </w:tc>
      </w:tr>
      <w:tr w:rsidR="00171C3E" w:rsidRPr="00BE78B0" w14:paraId="5961B83B" w14:textId="77777777" w:rsidTr="00EB7462">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54629A3D" w14:textId="77777777" w:rsidR="00171C3E" w:rsidRPr="00171C3E" w:rsidRDefault="00171C3E" w:rsidP="00EB7462">
            <w:pPr>
              <w:keepNext/>
              <w:keepLines/>
              <w:spacing w:after="0"/>
              <w:jc w:val="center"/>
              <w:rPr>
                <w:rFonts w:ascii="Arial" w:hAnsi="Arial"/>
                <w:snapToGrid w:val="0"/>
                <w:sz w:val="18"/>
                <w:highlight w:val="green"/>
                <w:lang w:eastAsia="ko-KR"/>
              </w:rPr>
            </w:pPr>
            <w:r w:rsidRPr="00171C3E">
              <w:rPr>
                <w:rFonts w:ascii="Arial" w:hAnsi="Arial"/>
                <w:snapToGrid w:val="0"/>
                <w:sz w:val="18"/>
                <w:highlight w:val="green"/>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65C3EC53" w14:textId="77777777" w:rsidR="00171C3E" w:rsidRPr="00171C3E" w:rsidRDefault="00171C3E" w:rsidP="00EB7462">
            <w:pPr>
              <w:keepNext/>
              <w:keepLines/>
              <w:spacing w:after="0"/>
              <w:jc w:val="center"/>
              <w:rPr>
                <w:rFonts w:ascii="Arial" w:hAnsi="Arial"/>
                <w:snapToGrid w:val="0"/>
                <w:sz w:val="18"/>
                <w:highlight w:val="green"/>
                <w:lang w:eastAsia="ko-KR"/>
              </w:rPr>
            </w:pPr>
            <w:r w:rsidRPr="00171C3E">
              <w:rPr>
                <w:rFonts w:ascii="Arial" w:hAnsi="Arial"/>
                <w:snapToGrid w:val="0"/>
                <w:sz w:val="18"/>
                <w:highlight w:val="green"/>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84E2803" w14:textId="77777777" w:rsidR="00171C3E" w:rsidRPr="00171C3E" w:rsidRDefault="00171C3E" w:rsidP="00EB7462">
            <w:pPr>
              <w:keepNext/>
              <w:keepLines/>
              <w:spacing w:after="0"/>
              <w:jc w:val="center"/>
              <w:rPr>
                <w:rFonts w:ascii="Arial" w:hAnsi="Arial"/>
                <w:snapToGrid w:val="0"/>
                <w:sz w:val="18"/>
                <w:highlight w:val="green"/>
                <w:lang w:eastAsia="ko-KR"/>
              </w:rPr>
            </w:pPr>
            <w:r w:rsidRPr="00171C3E">
              <w:rPr>
                <w:rFonts w:ascii="Arial" w:hAnsi="Arial"/>
                <w:snapToGrid w:val="0"/>
                <w:sz w:val="18"/>
                <w:highlight w:val="green"/>
              </w:rPr>
              <w:t>40</w:t>
            </w:r>
          </w:p>
        </w:tc>
      </w:tr>
      <w:tr w:rsidR="00171C3E" w:rsidRPr="00BE78B0" w14:paraId="6FFCB0AD" w14:textId="77777777"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4E591AB" w14:textId="77777777" w:rsidR="00171C3E" w:rsidRPr="00171C3E" w:rsidRDefault="00171C3E" w:rsidP="00EB7462">
            <w:pPr>
              <w:keepNext/>
              <w:keepLines/>
              <w:spacing w:after="0"/>
              <w:jc w:val="center"/>
              <w:rPr>
                <w:rFonts w:ascii="Arial" w:hAnsi="Arial"/>
                <w:snapToGrid w:val="0"/>
                <w:sz w:val="18"/>
                <w:highlight w:val="green"/>
                <w:lang w:eastAsia="ko-KR"/>
              </w:rPr>
            </w:pPr>
            <w:r w:rsidRPr="00171C3E">
              <w:rPr>
                <w:rFonts w:ascii="Arial" w:hAnsi="Arial"/>
                <w:snapToGrid w:val="0"/>
                <w:sz w:val="18"/>
                <w:highlight w:val="green"/>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12059E" w14:textId="77777777" w:rsidR="00171C3E" w:rsidRPr="00171C3E" w:rsidRDefault="00171C3E" w:rsidP="00EB7462">
            <w:pPr>
              <w:keepNext/>
              <w:keepLines/>
              <w:spacing w:after="0"/>
              <w:jc w:val="center"/>
              <w:rPr>
                <w:rFonts w:ascii="Arial" w:hAnsi="Arial"/>
                <w:snapToGrid w:val="0"/>
                <w:sz w:val="18"/>
                <w:highlight w:val="green"/>
                <w:lang w:eastAsia="ko-KR"/>
              </w:rPr>
            </w:pPr>
            <w:r w:rsidRPr="00171C3E">
              <w:rPr>
                <w:rFonts w:ascii="Arial" w:hAnsi="Arial"/>
                <w:snapToGrid w:val="0"/>
                <w:sz w:val="18"/>
                <w:highlight w:val="green"/>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C6E5697" w14:textId="77777777" w:rsidR="00171C3E" w:rsidRPr="00171C3E" w:rsidRDefault="00171C3E" w:rsidP="00EB7462">
            <w:pPr>
              <w:keepNext/>
              <w:keepLines/>
              <w:spacing w:after="0"/>
              <w:jc w:val="center"/>
              <w:rPr>
                <w:rFonts w:ascii="Arial" w:hAnsi="Arial"/>
                <w:snapToGrid w:val="0"/>
                <w:sz w:val="18"/>
                <w:highlight w:val="green"/>
                <w:lang w:eastAsia="ko-KR"/>
              </w:rPr>
            </w:pPr>
            <w:r w:rsidRPr="00171C3E">
              <w:rPr>
                <w:rFonts w:ascii="Arial" w:hAnsi="Arial"/>
                <w:snapToGrid w:val="0"/>
                <w:sz w:val="18"/>
                <w:highlight w:val="green"/>
                <w:lang w:eastAsia="ko-KR"/>
              </w:rPr>
              <w:t>80</w:t>
            </w:r>
          </w:p>
        </w:tc>
      </w:tr>
      <w:tr w:rsidR="00171C3E" w:rsidRPr="00BE78B0" w14:paraId="04431B6E" w14:textId="77777777"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C12C42C"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06FCB869"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83B4141"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171C3E" w:rsidRPr="00BE78B0" w14:paraId="27F3D028" w14:textId="77777777"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D800302"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53003878"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A833E24"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rPr>
              <w:t>20</w:t>
            </w:r>
          </w:p>
        </w:tc>
      </w:tr>
      <w:tr w:rsidR="00171C3E" w:rsidRPr="00BE78B0" w14:paraId="4FB0D0E7" w14:textId="77777777"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8569A5"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4C32B3FC"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02FAA9B"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rPr>
              <w:t>40</w:t>
            </w:r>
          </w:p>
        </w:tc>
      </w:tr>
      <w:tr w:rsidR="00171C3E" w:rsidRPr="00BE78B0" w14:paraId="6DA189E4" w14:textId="77777777"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D4B0A87"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52DFCA5D"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E632C25"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171C3E" w:rsidRPr="00BE78B0" w14:paraId="16536692" w14:textId="77777777"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933D2CE"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042B2718"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68779AC"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171C3E" w:rsidRPr="00BE78B0" w14:paraId="6F78A634" w14:textId="77777777"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892B387"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4EFDF644"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FDD7FB1"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rPr>
              <w:t>20</w:t>
            </w:r>
          </w:p>
        </w:tc>
      </w:tr>
      <w:tr w:rsidR="00171C3E" w:rsidRPr="00BE78B0" w14:paraId="049764F4" w14:textId="77777777"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28D114E"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8DD8CEA"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673D3F6"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rPr>
              <w:t>40</w:t>
            </w:r>
          </w:p>
        </w:tc>
      </w:tr>
      <w:tr w:rsidR="00171C3E" w:rsidRPr="00BE78B0" w14:paraId="747B422D" w14:textId="77777777"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F089D49"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4886DFA6"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93EACE2"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171C3E" w:rsidRPr="00BE78B0" w14:paraId="36623FA8" w14:textId="77777777"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A69DBA"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0DFDB945"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9B95798" w14:textId="77777777"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bl>
    <w:p w14:paraId="7230D6E9" w14:textId="77777777" w:rsidR="00202D60" w:rsidRDefault="00202D60" w:rsidP="00202D60">
      <w:pPr>
        <w:rPr>
          <w:lang w:val="en-US" w:eastAsia="zh-CN"/>
        </w:rPr>
      </w:pPr>
    </w:p>
    <w:p w14:paraId="56B1A267" w14:textId="509ECAA9" w:rsidR="00662E4A" w:rsidRDefault="00171C3E" w:rsidP="00662E4A">
      <w:pPr>
        <w:rPr>
          <w:lang w:val="en-US" w:eastAsia="zh-CN"/>
        </w:rPr>
      </w:pPr>
      <w:r>
        <w:rPr>
          <w:lang w:val="en-US" w:eastAsia="zh-CN"/>
        </w:rPr>
        <w:t xml:space="preserve">The four patterns shown in green are mandatory in release 15, based on earlier RAN4 decision. </w:t>
      </w:r>
      <w:r w:rsidR="00662E4A">
        <w:rPr>
          <w:lang w:val="en-US" w:eastAsia="zh-CN"/>
        </w:rPr>
        <w:t xml:space="preserve">We now </w:t>
      </w:r>
      <w:r w:rsidR="00EB7258">
        <w:rPr>
          <w:lang w:val="en-US" w:eastAsia="zh-CN"/>
        </w:rPr>
        <w:t>analyze possible</w:t>
      </w:r>
      <w:r w:rsidR="00662E4A">
        <w:rPr>
          <w:lang w:val="en-US" w:eastAsia="zh-CN"/>
        </w:rPr>
        <w:t xml:space="preserve"> further mandatory gap patterns</w:t>
      </w:r>
      <w:r w:rsidR="00BF7093">
        <w:rPr>
          <w:lang w:val="en-US" w:eastAsia="zh-CN"/>
        </w:rPr>
        <w:t>. All 24 NR measurement gap patterns have a use case (otherwise they would not have been included in release 16), however a subset needs to be decided as mandatory from rel-16 onwards.</w:t>
      </w:r>
    </w:p>
    <w:p w14:paraId="77B029B3" w14:textId="77777777" w:rsidR="00BC3922" w:rsidRDefault="00BC3922" w:rsidP="006B6666">
      <w:pPr>
        <w:rPr>
          <w:lang w:val="en-US" w:eastAsia="zh-CN"/>
        </w:rPr>
      </w:pPr>
    </w:p>
    <w:p w14:paraId="3C3CA187" w14:textId="77777777" w:rsidR="00AE1A5D" w:rsidRDefault="00AE1A5D" w:rsidP="00AE1A5D">
      <w:pPr>
        <w:pStyle w:val="Heading2"/>
        <w:rPr>
          <w:lang w:val="en-US" w:eastAsia="zh-CN"/>
        </w:rPr>
      </w:pPr>
      <w:r w:rsidRPr="00745D9A">
        <w:rPr>
          <w:lang w:val="en-US" w:eastAsia="zh-CN"/>
        </w:rPr>
        <w:t>GP12-23</w:t>
      </w:r>
      <w:r w:rsidR="002E6003">
        <w:rPr>
          <w:lang w:val="en-US" w:eastAsia="zh-CN"/>
        </w:rPr>
        <w:t xml:space="preserve"> (GP13,14 are already mandatory from R15)</w:t>
      </w:r>
    </w:p>
    <w:p w14:paraId="7D0D884A" w14:textId="77777777" w:rsidR="00AE1A5D" w:rsidRDefault="00AE1A5D" w:rsidP="00AE1A5D">
      <w:pPr>
        <w:rPr>
          <w:lang w:val="en-US" w:eastAsia="zh-CN"/>
        </w:rPr>
      </w:pPr>
      <w:r>
        <w:rPr>
          <w:lang w:val="en-US" w:eastAsia="zh-CN"/>
        </w:rPr>
        <w:t>GP13 and GP14 both have MGL=5</w:t>
      </w:r>
      <w:r w:rsidR="00EB7258">
        <w:rPr>
          <w:lang w:val="en-US" w:eastAsia="zh-CN"/>
        </w:rPr>
        <w:t>.</w:t>
      </w:r>
      <w:r>
        <w:rPr>
          <w:lang w:val="en-US" w:eastAsia="zh-CN"/>
        </w:rPr>
        <w:t xml:space="preserve">5ms, allowing for 5ms of useable measurement time when switching time is allowed for. Our view is that SMTC will very commonly have a duration significantly shorter than 5ms, e.g. if the basestation uses significantly fewer than 64 SSB TX beams. The other MGL options for FR2 measurement are 1.5ms (1ms useful measurement time) and 3.5ms (3ms useful measurement time). From these options, 3.5ms MGL is clearly the more useful, since 1.5ms MGRP patterns are only usable with very short SSB bursts with very good timing uncertainty at the UE receiver. </w:t>
      </w:r>
    </w:p>
    <w:p w14:paraId="0B326D55" w14:textId="77777777" w:rsidR="00AE1A5D" w:rsidRDefault="00AE1A5D" w:rsidP="00AE1A5D">
      <w:pPr>
        <w:rPr>
          <w:lang w:val="en-US" w:eastAsia="zh-CN"/>
        </w:rPr>
      </w:pPr>
      <w:r>
        <w:rPr>
          <w:lang w:val="en-US" w:eastAsia="zh-CN"/>
        </w:rPr>
        <w:t>We also think that 40ms and 80ms MGRP are the most useful settings, considering UE performance and L1 throughput impact. 20ms MGRP causes high throughput impact and is impractical in most cases with MGL=5.5ms and even with MGL=3.5ms the impact may be rather significant considering UE behavior after measurement gap when large TA or MGTA is used. MGRP=160ms is useful for offload measurements so in that sense it can be helpful, however there exist other ways of implementing offload measurements in the network such as using a 40ms or 80ms MGL gap pattern, and then (periodically or otherwise) stopping the gaps if no offload cell is reported.</w:t>
      </w:r>
    </w:p>
    <w:p w14:paraId="2898FF77" w14:textId="77777777" w:rsidR="00AE1A5D" w:rsidRDefault="00AE1A5D" w:rsidP="00AE1A5D">
      <w:pPr>
        <w:rPr>
          <w:lang w:val="en-US" w:eastAsia="zh-CN"/>
        </w:rPr>
      </w:pPr>
      <w:r>
        <w:rPr>
          <w:lang w:val="en-US" w:eastAsia="zh-CN"/>
        </w:rPr>
        <w:t>Based on this, we propose:</w:t>
      </w:r>
    </w:p>
    <w:p w14:paraId="108D4ACE" w14:textId="77777777" w:rsidR="00AE1A5D" w:rsidRDefault="00AE1A5D" w:rsidP="00AE1A5D">
      <w:pPr>
        <w:rPr>
          <w:b/>
          <w:lang w:val="en-US" w:eastAsia="zh-CN"/>
        </w:rPr>
      </w:pPr>
      <w:r>
        <w:rPr>
          <w:b/>
          <w:lang w:val="en-US" w:eastAsia="zh-CN"/>
        </w:rPr>
        <w:t xml:space="preserve">Proposal </w:t>
      </w:r>
      <w:r w:rsidR="00662E4A">
        <w:rPr>
          <w:b/>
          <w:lang w:val="en-US" w:eastAsia="zh-CN"/>
        </w:rPr>
        <w:t>1</w:t>
      </w:r>
      <w:r>
        <w:rPr>
          <w:b/>
          <w:lang w:val="en-US" w:eastAsia="zh-CN"/>
        </w:rPr>
        <w:t xml:space="preserve"> : </w:t>
      </w:r>
      <w:r w:rsidR="00B92619">
        <w:rPr>
          <w:b/>
          <w:lang w:val="en-US" w:eastAsia="zh-CN"/>
        </w:rPr>
        <w:t xml:space="preserve">At least </w:t>
      </w:r>
      <w:r>
        <w:rPr>
          <w:b/>
          <w:lang w:val="en-US" w:eastAsia="zh-CN"/>
        </w:rPr>
        <w:t>GP17 and GP18 are considered in the discussion mandatory for release 16 UEs</w:t>
      </w:r>
    </w:p>
    <w:p w14:paraId="177B7AC2" w14:textId="77777777" w:rsidR="002E6003" w:rsidRPr="002E6003" w:rsidRDefault="002E6003" w:rsidP="00AE1A5D">
      <w:pPr>
        <w:rPr>
          <w:lang w:val="en-US" w:eastAsia="zh-CN"/>
        </w:rPr>
      </w:pPr>
      <w:r w:rsidRPr="002E6003">
        <w:rPr>
          <w:lang w:val="en-US" w:eastAsia="zh-CN"/>
        </w:rPr>
        <w:t>One</w:t>
      </w:r>
      <w:r>
        <w:rPr>
          <w:lang w:val="en-US" w:eastAsia="zh-CN"/>
        </w:rPr>
        <w:t xml:space="preserve"> point to note here is that in NR, all UE which are measuring a frequency layer are measuring the same SSB resources. It is thus rat</w:t>
      </w:r>
      <w:r w:rsidR="00662E4A">
        <w:rPr>
          <w:lang w:val="en-US" w:eastAsia="zh-CN"/>
        </w:rPr>
        <w:t>h</w:t>
      </w:r>
      <w:r>
        <w:rPr>
          <w:lang w:val="en-US" w:eastAsia="zh-CN"/>
        </w:rPr>
        <w:t>er likely that many UE have aligned gaps, such that the gap cannot be used for scheduling a different UE if that UE is measuring the same resources.</w:t>
      </w:r>
    </w:p>
    <w:p w14:paraId="7721279C" w14:textId="77777777" w:rsidR="00B92619" w:rsidRDefault="00B92619" w:rsidP="00B92619">
      <w:pPr>
        <w:pStyle w:val="Heading2"/>
        <w:rPr>
          <w:lang w:val="en-US" w:eastAsia="zh-CN"/>
        </w:rPr>
      </w:pPr>
      <w:r w:rsidRPr="00745D9A">
        <w:rPr>
          <w:lang w:val="en-US" w:eastAsia="zh-CN"/>
        </w:rPr>
        <w:t>GP</w:t>
      </w:r>
      <w:r w:rsidR="002E6003">
        <w:rPr>
          <w:lang w:val="en-US" w:eastAsia="zh-CN"/>
        </w:rPr>
        <w:t>2</w:t>
      </w:r>
      <w:r w:rsidRPr="00745D9A">
        <w:rPr>
          <w:lang w:val="en-US" w:eastAsia="zh-CN"/>
        </w:rPr>
        <w:t>-</w:t>
      </w:r>
      <w:r>
        <w:rPr>
          <w:lang w:val="en-US" w:eastAsia="zh-CN"/>
        </w:rPr>
        <w:t>11</w:t>
      </w:r>
      <w:r w:rsidR="002E6003">
        <w:rPr>
          <w:lang w:val="en-US" w:eastAsia="zh-CN"/>
        </w:rPr>
        <w:t xml:space="preserve"> (GP0,1 are already mandatory from R15)</w:t>
      </w:r>
    </w:p>
    <w:p w14:paraId="4DF98248" w14:textId="0E5D823F" w:rsidR="002E6003" w:rsidRDefault="00E86823" w:rsidP="00BF7093">
      <w:pPr>
        <w:rPr>
          <w:b/>
          <w:lang w:val="en-US" w:eastAsia="zh-CN"/>
        </w:rPr>
      </w:pPr>
      <w:r>
        <w:rPr>
          <w:lang w:val="en-US" w:eastAsia="zh-CN"/>
        </w:rPr>
        <w:t>As discussed and agreed in RAN4, new GP will be used for NR-only measurement, and hence UEs do not need to support LTE short measurement gap to support the mandatory gaps in R16 regardless of the gap patterns chosen.</w:t>
      </w:r>
    </w:p>
    <w:p w14:paraId="7807F2AC" w14:textId="77777777" w:rsidR="002E6003" w:rsidRDefault="002E6003" w:rsidP="002E6003">
      <w:pPr>
        <w:rPr>
          <w:lang w:val="en-US" w:eastAsia="zh-CN"/>
        </w:rPr>
      </w:pPr>
      <w:r>
        <w:rPr>
          <w:lang w:val="en-US" w:eastAsia="zh-CN"/>
        </w:rPr>
        <w:lastRenderedPageBreak/>
        <w:t>From our perspective, we see the principal purpose being to reduce throughput impact of NR measurements when the SMTC is significantly less than 6ms. In FR1</w:t>
      </w:r>
      <w:r w:rsidR="0074621D">
        <w:rPr>
          <w:lang w:val="en-US" w:eastAsia="zh-CN"/>
        </w:rPr>
        <w:t>, TX beamforming may not be used by gNB, especially on low bands and it is thus very realistic that FR1 NR deployments use short SS bursts and SMTC durations, even down to a single SS block.</w:t>
      </w:r>
    </w:p>
    <w:p w14:paraId="63F5AD9D" w14:textId="77777777" w:rsidR="0074621D" w:rsidRDefault="0074621D" w:rsidP="002E6003">
      <w:pPr>
        <w:rPr>
          <w:b/>
          <w:lang w:val="en-US" w:eastAsia="zh-CN"/>
        </w:rPr>
      </w:pPr>
      <w:r>
        <w:rPr>
          <w:b/>
          <w:lang w:val="en-US" w:eastAsia="zh-CN"/>
        </w:rPr>
        <w:t xml:space="preserve">Proposal </w:t>
      </w:r>
      <w:r w:rsidR="00662E4A">
        <w:rPr>
          <w:b/>
          <w:lang w:val="en-US" w:eastAsia="zh-CN"/>
        </w:rPr>
        <w:t>2</w:t>
      </w:r>
      <w:r>
        <w:rPr>
          <w:b/>
          <w:lang w:val="en-US" w:eastAsia="zh-CN"/>
        </w:rPr>
        <w:t xml:space="preserve">: </w:t>
      </w:r>
      <w:r w:rsidR="00BF7093">
        <w:rPr>
          <w:b/>
          <w:lang w:val="en-US" w:eastAsia="zh-CN"/>
        </w:rPr>
        <w:t>At</w:t>
      </w:r>
      <w:r>
        <w:rPr>
          <w:b/>
          <w:lang w:val="en-US" w:eastAsia="zh-CN"/>
        </w:rPr>
        <w:t xml:space="preserve"> least GP2 and GP3 are considered as additional mandatory gap patterns for R16.</w:t>
      </w:r>
    </w:p>
    <w:p w14:paraId="4F3D0149" w14:textId="77777777" w:rsidR="006B6666" w:rsidRDefault="006B6666" w:rsidP="006B6666">
      <w:pPr>
        <w:pStyle w:val="Heading1"/>
        <w:jc w:val="both"/>
        <w:rPr>
          <w:rFonts w:eastAsia="SimSun"/>
          <w:lang w:val="en-US" w:eastAsia="zh-CN"/>
        </w:rPr>
      </w:pPr>
      <w:r>
        <w:rPr>
          <w:rFonts w:eastAsia="SimSun"/>
          <w:lang w:val="en-US" w:eastAsia="zh-CN"/>
        </w:rPr>
        <w:t>Conclusions</w:t>
      </w:r>
    </w:p>
    <w:p w14:paraId="72672A81" w14:textId="77777777" w:rsidR="00367330" w:rsidRDefault="002860A1" w:rsidP="00367330">
      <w:pPr>
        <w:rPr>
          <w:lang w:val="en-US" w:eastAsia="zh-CN"/>
        </w:rPr>
      </w:pPr>
      <w:r w:rsidRPr="002860A1">
        <w:rPr>
          <w:lang w:val="en-US" w:eastAsia="zh-CN"/>
        </w:rPr>
        <w:t xml:space="preserve">In this </w:t>
      </w:r>
      <w:r>
        <w:rPr>
          <w:lang w:val="en-US" w:eastAsia="zh-CN"/>
        </w:rPr>
        <w:t>paper, we discuss additional mandatory gap patterns for R16. We discuss mandatory gap patterns and propose</w:t>
      </w:r>
    </w:p>
    <w:p w14:paraId="7AD680A9" w14:textId="77777777" w:rsidR="00EB7258" w:rsidRDefault="00EB7258" w:rsidP="00EB7258">
      <w:pPr>
        <w:rPr>
          <w:b/>
          <w:lang w:val="en-US" w:eastAsia="zh-CN"/>
        </w:rPr>
      </w:pPr>
      <w:r>
        <w:rPr>
          <w:b/>
          <w:lang w:val="en-US" w:eastAsia="zh-CN"/>
        </w:rPr>
        <w:t>Proposal 1 : At least GP17 and GP18 are considered in the discussion mandatory for release 16 UEs</w:t>
      </w:r>
    </w:p>
    <w:p w14:paraId="744A08FC" w14:textId="2D14040F" w:rsidR="00EB7258" w:rsidRDefault="00EB7258" w:rsidP="002860A1">
      <w:pPr>
        <w:rPr>
          <w:b/>
          <w:lang w:val="en-US" w:eastAsia="zh-CN"/>
        </w:rPr>
      </w:pPr>
      <w:r>
        <w:rPr>
          <w:b/>
          <w:lang w:val="en-US" w:eastAsia="zh-CN"/>
        </w:rPr>
        <w:t xml:space="preserve">Proposal 2: </w:t>
      </w:r>
      <w:r w:rsidR="00E86823">
        <w:rPr>
          <w:b/>
          <w:lang w:val="en-US" w:eastAsia="zh-CN"/>
        </w:rPr>
        <w:t>At</w:t>
      </w:r>
      <w:r>
        <w:rPr>
          <w:b/>
          <w:lang w:val="en-US" w:eastAsia="zh-CN"/>
        </w:rPr>
        <w:t xml:space="preserve"> least GP2 and GP3 are considered as additional mandatory gap patterns for R16.</w:t>
      </w:r>
    </w:p>
    <w:p w14:paraId="0B5E7BD9" w14:textId="77777777" w:rsidR="000208BE" w:rsidRPr="003F08E6" w:rsidRDefault="005813AA" w:rsidP="003F08E6">
      <w:pPr>
        <w:pStyle w:val="Heading1"/>
        <w:jc w:val="both"/>
        <w:rPr>
          <w:rFonts w:eastAsia="SimSun"/>
          <w:lang w:val="en-US" w:eastAsia="zh-CN"/>
        </w:rPr>
      </w:pPr>
      <w:r>
        <w:rPr>
          <w:rFonts w:eastAsia="SimSun"/>
          <w:lang w:val="en-US" w:eastAsia="zh-CN"/>
        </w:rPr>
        <w:t>References</w:t>
      </w:r>
    </w:p>
    <w:p w14:paraId="42C1FB3D" w14:textId="5702CF36" w:rsidR="003F08E6" w:rsidRDefault="00DE0401" w:rsidP="000E35CC">
      <w:pPr>
        <w:pStyle w:val="3GPPNormalText"/>
        <w:numPr>
          <w:ilvl w:val="0"/>
          <w:numId w:val="5"/>
        </w:numPr>
        <w:rPr>
          <w:szCs w:val="20"/>
          <w:lang w:eastAsia="zh-CN"/>
        </w:rPr>
      </w:pPr>
      <w:bookmarkStart w:id="2" w:name="_Ref12541337"/>
      <w:bookmarkStart w:id="3" w:name="_Ref19802584"/>
      <w:r w:rsidRPr="00DE0401">
        <w:rPr>
          <w:szCs w:val="20"/>
          <w:lang w:eastAsia="zh-CN"/>
        </w:rPr>
        <w:t>RP-192157</w:t>
      </w:r>
      <w:r w:rsidR="003F08E6">
        <w:rPr>
          <w:szCs w:val="20"/>
          <w:lang w:eastAsia="zh-CN"/>
        </w:rPr>
        <w:t>, “</w:t>
      </w:r>
      <w:r>
        <w:rPr>
          <w:szCs w:val="20"/>
          <w:lang w:eastAsia="zh-CN"/>
        </w:rPr>
        <w:t>Revised WID:RRM enhancement in R16</w:t>
      </w:r>
      <w:r w:rsidR="003F08E6">
        <w:rPr>
          <w:szCs w:val="20"/>
          <w:lang w:eastAsia="zh-CN"/>
        </w:rPr>
        <w:t xml:space="preserve">”, </w:t>
      </w:r>
      <w:bookmarkEnd w:id="2"/>
      <w:r>
        <w:rPr>
          <w:szCs w:val="20"/>
          <w:lang w:eastAsia="zh-CN"/>
        </w:rPr>
        <w:t>Intel</w:t>
      </w:r>
      <w:bookmarkEnd w:id="3"/>
    </w:p>
    <w:p w14:paraId="21D42C2D" w14:textId="12C1D38A" w:rsidR="00BF7093" w:rsidRPr="00BF7093" w:rsidRDefault="00BF7093" w:rsidP="00BF7093">
      <w:pPr>
        <w:pStyle w:val="3GPPNormalText"/>
        <w:numPr>
          <w:ilvl w:val="0"/>
          <w:numId w:val="5"/>
        </w:numPr>
        <w:rPr>
          <w:szCs w:val="20"/>
          <w:lang w:eastAsia="zh-CN"/>
        </w:rPr>
      </w:pPr>
      <w:bookmarkStart w:id="4" w:name="_Ref23229642"/>
      <w:r>
        <w:rPr>
          <w:szCs w:val="20"/>
          <w:lang w:eastAsia="zh-CN"/>
        </w:rPr>
        <w:t>R4-2002253, “</w:t>
      </w:r>
      <w:r w:rsidRPr="00FB44F3">
        <w:rPr>
          <w:szCs w:val="20"/>
          <w:lang w:val="en-GB" w:eastAsia="zh-CN"/>
        </w:rPr>
        <w:t>Way forward on RRM enhancement: mandatory of gap patterns</w:t>
      </w:r>
      <w:r>
        <w:rPr>
          <w:szCs w:val="20"/>
          <w:lang w:eastAsia="zh-CN"/>
        </w:rPr>
        <w:t xml:space="preserve">”, </w:t>
      </w:r>
      <w:bookmarkEnd w:id="4"/>
      <w:r>
        <w:rPr>
          <w:szCs w:val="20"/>
          <w:lang w:eastAsia="zh-CN"/>
        </w:rPr>
        <w:t>ZTE</w:t>
      </w:r>
    </w:p>
    <w:sectPr w:rsidR="00BF7093" w:rsidRPr="00BF7093"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F8AC9" w14:textId="77777777" w:rsidR="008F0255" w:rsidRDefault="008F0255">
      <w:r>
        <w:separator/>
      </w:r>
    </w:p>
  </w:endnote>
  <w:endnote w:type="continuationSeparator" w:id="0">
    <w:p w14:paraId="64432AED" w14:textId="77777777" w:rsidR="008F0255" w:rsidRDefault="008F0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41CBE" w14:textId="77777777"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82F8F0C" w14:textId="77777777" w:rsidR="009A0503" w:rsidRDefault="009A0503">
    <w:pPr>
      <w:pStyle w:val="Footer"/>
    </w:pPr>
  </w:p>
  <w:p w14:paraId="138F9A07" w14:textId="77777777" w:rsidR="009A0503" w:rsidRDefault="009A0503"/>
  <w:p w14:paraId="0714A9C8" w14:textId="77777777"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B83D4" w14:textId="77777777"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FFD2765" w14:textId="77777777" w:rsidR="009A0503" w:rsidRDefault="009A0503">
    <w:pPr>
      <w:pStyle w:val="Footer"/>
      <w:ind w:right="360"/>
    </w:pPr>
  </w:p>
  <w:p w14:paraId="1DDD1D31" w14:textId="77777777" w:rsidR="009A0503" w:rsidRDefault="009A0503"/>
  <w:p w14:paraId="46B5AFED" w14:textId="77777777"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3DB6C" w14:textId="77777777" w:rsidR="008F0255" w:rsidRDefault="008F0255">
      <w:r>
        <w:separator/>
      </w:r>
    </w:p>
  </w:footnote>
  <w:footnote w:type="continuationSeparator" w:id="0">
    <w:p w14:paraId="6A4136AC" w14:textId="77777777" w:rsidR="008F0255" w:rsidRDefault="008F02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1"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4" w15:restartNumberingAfterBreak="0">
    <w:nsid w:val="3A5B0654"/>
    <w:multiLevelType w:val="hybridMultilevel"/>
    <w:tmpl w:val="F8C89750"/>
    <w:lvl w:ilvl="0" w:tplc="EB106B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E7F5789"/>
    <w:multiLevelType w:val="hybridMultilevel"/>
    <w:tmpl w:val="65EEBD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246"/>
        </w:tabs>
        <w:ind w:left="624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93B6291"/>
    <w:multiLevelType w:val="hybridMultilevel"/>
    <w:tmpl w:val="8C16B984"/>
    <w:lvl w:ilvl="0" w:tplc="6D8E72B6">
      <w:start w:val="1"/>
      <w:numFmt w:val="bullet"/>
      <w:lvlText w:val="•"/>
      <w:lvlJc w:val="left"/>
      <w:pPr>
        <w:tabs>
          <w:tab w:val="num" w:pos="720"/>
        </w:tabs>
        <w:ind w:left="720" w:hanging="360"/>
      </w:pPr>
      <w:rPr>
        <w:rFonts w:ascii="Arial" w:hAnsi="Arial" w:hint="default"/>
      </w:rPr>
    </w:lvl>
    <w:lvl w:ilvl="1" w:tplc="52C00CA0">
      <w:numFmt w:val="none"/>
      <w:lvlText w:val=""/>
      <w:lvlJc w:val="left"/>
      <w:pPr>
        <w:tabs>
          <w:tab w:val="num" w:pos="360"/>
        </w:tabs>
      </w:pPr>
    </w:lvl>
    <w:lvl w:ilvl="2" w:tplc="A88460F2">
      <w:numFmt w:val="none"/>
      <w:lvlText w:val=""/>
      <w:lvlJc w:val="left"/>
      <w:pPr>
        <w:tabs>
          <w:tab w:val="num" w:pos="360"/>
        </w:tabs>
      </w:pPr>
    </w:lvl>
    <w:lvl w:ilvl="3" w:tplc="C2AA65A2" w:tentative="1">
      <w:start w:val="1"/>
      <w:numFmt w:val="bullet"/>
      <w:lvlText w:val="•"/>
      <w:lvlJc w:val="left"/>
      <w:pPr>
        <w:tabs>
          <w:tab w:val="num" w:pos="2880"/>
        </w:tabs>
        <w:ind w:left="2880" w:hanging="360"/>
      </w:pPr>
      <w:rPr>
        <w:rFonts w:ascii="Arial" w:hAnsi="Arial" w:hint="default"/>
      </w:rPr>
    </w:lvl>
    <w:lvl w:ilvl="4" w:tplc="75C0C278" w:tentative="1">
      <w:start w:val="1"/>
      <w:numFmt w:val="bullet"/>
      <w:lvlText w:val="•"/>
      <w:lvlJc w:val="left"/>
      <w:pPr>
        <w:tabs>
          <w:tab w:val="num" w:pos="3600"/>
        </w:tabs>
        <w:ind w:left="3600" w:hanging="360"/>
      </w:pPr>
      <w:rPr>
        <w:rFonts w:ascii="Arial" w:hAnsi="Arial" w:hint="default"/>
      </w:rPr>
    </w:lvl>
    <w:lvl w:ilvl="5" w:tplc="0D7EE950" w:tentative="1">
      <w:start w:val="1"/>
      <w:numFmt w:val="bullet"/>
      <w:lvlText w:val="•"/>
      <w:lvlJc w:val="left"/>
      <w:pPr>
        <w:tabs>
          <w:tab w:val="num" w:pos="4320"/>
        </w:tabs>
        <w:ind w:left="4320" w:hanging="360"/>
      </w:pPr>
      <w:rPr>
        <w:rFonts w:ascii="Arial" w:hAnsi="Arial" w:hint="default"/>
      </w:rPr>
    </w:lvl>
    <w:lvl w:ilvl="6" w:tplc="1F686306" w:tentative="1">
      <w:start w:val="1"/>
      <w:numFmt w:val="bullet"/>
      <w:lvlText w:val="•"/>
      <w:lvlJc w:val="left"/>
      <w:pPr>
        <w:tabs>
          <w:tab w:val="num" w:pos="5040"/>
        </w:tabs>
        <w:ind w:left="5040" w:hanging="360"/>
      </w:pPr>
      <w:rPr>
        <w:rFonts w:ascii="Arial" w:hAnsi="Arial" w:hint="default"/>
      </w:rPr>
    </w:lvl>
    <w:lvl w:ilvl="7" w:tplc="5F906E30" w:tentative="1">
      <w:start w:val="1"/>
      <w:numFmt w:val="bullet"/>
      <w:lvlText w:val="•"/>
      <w:lvlJc w:val="left"/>
      <w:pPr>
        <w:tabs>
          <w:tab w:val="num" w:pos="5760"/>
        </w:tabs>
        <w:ind w:left="5760" w:hanging="360"/>
      </w:pPr>
      <w:rPr>
        <w:rFonts w:ascii="Arial" w:hAnsi="Arial" w:hint="default"/>
      </w:rPr>
    </w:lvl>
    <w:lvl w:ilvl="8" w:tplc="C794F5F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AE772F"/>
    <w:multiLevelType w:val="hybridMultilevel"/>
    <w:tmpl w:val="1CE02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344788"/>
    <w:multiLevelType w:val="hybridMultilevel"/>
    <w:tmpl w:val="C78A9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18"/>
  </w:num>
  <w:num w:numId="2">
    <w:abstractNumId w:val="38"/>
  </w:num>
  <w:num w:numId="3">
    <w:abstractNumId w:val="40"/>
  </w:num>
  <w:num w:numId="4">
    <w:abstractNumId w:val="10"/>
  </w:num>
  <w:num w:numId="5">
    <w:abstractNumId w:val="13"/>
  </w:num>
  <w:num w:numId="6">
    <w:abstractNumId w:val="33"/>
  </w:num>
  <w:num w:numId="7">
    <w:abstractNumId w:val="11"/>
  </w:num>
  <w:num w:numId="8">
    <w:abstractNumId w:val="25"/>
  </w:num>
  <w:num w:numId="9">
    <w:abstractNumId w:val="15"/>
  </w:num>
  <w:num w:numId="10">
    <w:abstractNumId w:val="16"/>
  </w:num>
  <w:num w:numId="11">
    <w:abstractNumId w:val="7"/>
  </w:num>
  <w:num w:numId="12">
    <w:abstractNumId w:val="22"/>
  </w:num>
  <w:num w:numId="13">
    <w:abstractNumId w:val="0"/>
  </w:num>
  <w:num w:numId="14">
    <w:abstractNumId w:val="1"/>
  </w:num>
  <w:num w:numId="15">
    <w:abstractNumId w:val="39"/>
  </w:num>
  <w:num w:numId="16">
    <w:abstractNumId w:val="23"/>
  </w:num>
  <w:num w:numId="17">
    <w:abstractNumId w:val="24"/>
  </w:num>
  <w:num w:numId="18">
    <w:abstractNumId w:val="9"/>
  </w:num>
  <w:num w:numId="19">
    <w:abstractNumId w:val="29"/>
  </w:num>
  <w:num w:numId="20">
    <w:abstractNumId w:val="31"/>
  </w:num>
  <w:num w:numId="21">
    <w:abstractNumId w:val="6"/>
  </w:num>
  <w:num w:numId="22">
    <w:abstractNumId w:val="36"/>
  </w:num>
  <w:num w:numId="23">
    <w:abstractNumId w:val="3"/>
  </w:num>
  <w:num w:numId="24">
    <w:abstractNumId w:val="26"/>
  </w:num>
  <w:num w:numId="25">
    <w:abstractNumId w:val="8"/>
  </w:num>
  <w:num w:numId="26">
    <w:abstractNumId w:val="30"/>
  </w:num>
  <w:num w:numId="27">
    <w:abstractNumId w:val="20"/>
  </w:num>
  <w:num w:numId="28">
    <w:abstractNumId w:val="21"/>
  </w:num>
  <w:num w:numId="29">
    <w:abstractNumId w:val="37"/>
  </w:num>
  <w:num w:numId="30">
    <w:abstractNumId w:val="32"/>
  </w:num>
  <w:num w:numId="31">
    <w:abstractNumId w:val="35"/>
  </w:num>
  <w:num w:numId="32">
    <w:abstractNumId w:val="12"/>
  </w:num>
  <w:num w:numId="33">
    <w:abstractNumId w:val="19"/>
  </w:num>
  <w:num w:numId="34">
    <w:abstractNumId w:val="2"/>
  </w:num>
  <w:num w:numId="35">
    <w:abstractNumId w:val="4"/>
  </w:num>
  <w:num w:numId="36">
    <w:abstractNumId w:val="5"/>
  </w:num>
  <w:num w:numId="37">
    <w:abstractNumId w:val="28"/>
  </w:num>
  <w:num w:numId="38">
    <w:abstractNumId w:val="17"/>
  </w:num>
  <w:num w:numId="39">
    <w:abstractNumId w:val="27"/>
  </w:num>
  <w:num w:numId="40">
    <w:abstractNumId w:val="14"/>
  </w:num>
  <w:num w:numId="41">
    <w:abstractNumId w:val="3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73C"/>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1"/>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3F56"/>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78"/>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C3E"/>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EA0"/>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D60"/>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28"/>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884"/>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0A1"/>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003"/>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9ED"/>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3D8"/>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6F7C"/>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47BE"/>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0A"/>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4BBE"/>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2E4A"/>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67B"/>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6C90"/>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A9B"/>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73B"/>
    <w:rsid w:val="007458E0"/>
    <w:rsid w:val="00745D9A"/>
    <w:rsid w:val="0074621D"/>
    <w:rsid w:val="007463B9"/>
    <w:rsid w:val="0074697D"/>
    <w:rsid w:val="00746F72"/>
    <w:rsid w:val="0074710A"/>
    <w:rsid w:val="00750205"/>
    <w:rsid w:val="00750207"/>
    <w:rsid w:val="00750C3A"/>
    <w:rsid w:val="00751024"/>
    <w:rsid w:val="00751067"/>
    <w:rsid w:val="0075135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255"/>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C65"/>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A5D"/>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2FC8"/>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EA8"/>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19"/>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AAA"/>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93"/>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6EF"/>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9B1"/>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0C"/>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EDC"/>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823"/>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258"/>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69B"/>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4FD8"/>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715CD2"/>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E0D9BF1-3FEB-46B4-ABA8-158EC9ABC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797</Words>
  <Characters>4548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2</cp:revision>
  <cp:lastPrinted>2009-04-22T13:01:00Z</cp:lastPrinted>
  <dcterms:created xsi:type="dcterms:W3CDTF">2020-04-09T15:39:00Z</dcterms:created>
  <dcterms:modified xsi:type="dcterms:W3CDTF">2020-04-09T15:39:00Z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